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4" w:rsidRPr="000C20ED" w:rsidRDefault="00836A34" w:rsidP="00836A3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hAnsi="Times New Roman"/>
          <w:b/>
          <w:sz w:val="30"/>
          <w:szCs w:val="30"/>
        </w:rPr>
        <w:t>ИНФОРМАЦИЯ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20ED">
        <w:rPr>
          <w:rFonts w:ascii="Times New Roman" w:hAnsi="Times New Roman"/>
          <w:b/>
          <w:sz w:val="30"/>
          <w:szCs w:val="30"/>
        </w:rPr>
        <w:t>О СТРАТЕГИИ УСТО</w:t>
      </w:r>
      <w:r>
        <w:rPr>
          <w:rFonts w:ascii="Times New Roman" w:hAnsi="Times New Roman"/>
          <w:b/>
          <w:sz w:val="30"/>
          <w:szCs w:val="30"/>
        </w:rPr>
        <w:t>Й</w:t>
      </w:r>
      <w:r w:rsidRPr="000C20ED">
        <w:rPr>
          <w:rFonts w:ascii="Times New Roman" w:hAnsi="Times New Roman"/>
          <w:b/>
          <w:sz w:val="30"/>
          <w:szCs w:val="30"/>
        </w:rPr>
        <w:t>ЧИВОГО РАЗВИТИЯ МОГИЛЕВСКОЙ ОБЛАСТИНА ПЕРИОД ДО 2035 ГОДА И ЦЕЛЯХ УСТОЙЧИВОГО РАЗВИТИЯ</w:t>
      </w:r>
    </w:p>
    <w:p w:rsidR="00836A34" w:rsidRPr="000C20ED" w:rsidRDefault="00836A34" w:rsidP="00836A3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Каждый из нас в своей жизни задумывается: как поступать правильно? Чему надо научить детей? Что мы 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авим нашим потомкам после себя?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Эти вопросы одинаковы для любого человека: в Республике Беларусь и Китае, в странах Африки и 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сударствах Балтийского региона.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ходе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Саммита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Повестка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17 Це</w:t>
      </w:r>
      <w:r>
        <w:rPr>
          <w:rFonts w:ascii="Times New Roman" w:hAnsi="Times New Roman"/>
          <w:sz w:val="30"/>
          <w:szCs w:val="30"/>
        </w:rPr>
        <w:t>лей Устойчивого Развития – это:</w:t>
      </w: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29393FE" wp14:editId="32A1554F">
            <wp:simplePos x="0" y="0"/>
            <wp:positionH relativeFrom="column">
              <wp:posOffset>-5080</wp:posOffset>
            </wp:positionH>
            <wp:positionV relativeFrom="paragraph">
              <wp:posOffset>212090</wp:posOffset>
            </wp:positionV>
            <wp:extent cx="790575" cy="791210"/>
            <wp:effectExtent l="0" t="0" r="9525" b="8890"/>
            <wp:wrapSquare wrapText="bothSides"/>
            <wp:docPr id="1" name="Рисунок 1" descr="https://www.belstat.gov.by/upload-belstat/upload-belstat-image/SDG/1_no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at.gov.by/upload-belstat/upload-belstat-image/SDG/1_no_pover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 ЛИКВИДАЦИЯ НИЩЕТЫ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2F5633DF" wp14:editId="1910B0F4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790575" cy="791845"/>
            <wp:effectExtent l="0" t="0" r="9525" b="8255"/>
            <wp:wrapSquare wrapText="bothSides"/>
            <wp:docPr id="2" name="Рисунок 2" descr="https://www.belstat.gov.by/upload-belstat/upload-belstat-image/SDG/2_zero_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stat.gov.by/upload-belstat/upload-belstat-image/SDG/2_zero_hun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2 ЛИКВИДАЦИЯ ГОЛОДА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4F1F33C8" wp14:editId="7B12593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17245" cy="819150"/>
            <wp:effectExtent l="0" t="0" r="1905" b="0"/>
            <wp:wrapSquare wrapText="bothSides"/>
            <wp:docPr id="3" name="Рисунок 3" descr="https://www.belstat.gov.by/upload-belstat/upload-belstat-image/SDG/3_good_health_and_well_b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stat.gov.by/upload-belstat/upload-belstat-image/SDG/3_good_health_and_well_be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3 ХОРОШЕЕ ЗДОРОВЬЕ И БЛАГОПОЛУЧИЕ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0C20ED">
        <w:rPr>
          <w:rFonts w:ascii="Times New Roman" w:hAnsi="Times New Roman"/>
          <w:sz w:val="30"/>
          <w:szCs w:val="30"/>
        </w:rPr>
        <w:t>самосохранительного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</w:t>
      </w:r>
      <w:proofErr w:type="gramStart"/>
      <w:r w:rsidRPr="000C20ED">
        <w:rPr>
          <w:rFonts w:ascii="Times New Roman" w:hAnsi="Times New Roman"/>
          <w:sz w:val="30"/>
          <w:szCs w:val="30"/>
        </w:rPr>
        <w:t>эффективных лекарственных средств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09F4AF54" wp14:editId="0AF6ED2E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771525" cy="772160"/>
            <wp:effectExtent l="0" t="0" r="9525" b="8890"/>
            <wp:wrapSquare wrapText="bothSides"/>
            <wp:docPr id="4" name="Рисунок 4" descr="https://www.belstat.gov.by/upload-belstat/upload-belstat-image/SDG/4_quality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stat.gov.by/upload-belstat/upload-belstat-image/SDG/4_quality_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4 КАЧЕСТВЕННОЕ ОБРАЗОВАНИЕ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6EC272FF" wp14:editId="34C286FD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771525" cy="773430"/>
            <wp:effectExtent l="0" t="0" r="9525" b="7620"/>
            <wp:wrapSquare wrapText="bothSides"/>
            <wp:docPr id="5" name="Рисунок 5" descr="https://www.belstat.gov.by/upload-belstat/upload-belstat-image/SDG/5_gender_e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stat.gov.by/upload-belstat/upload-belstat-image/SDG/5_gender_e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5 ГЕНДЕРНОЕ РАВЕНСТВО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охватывает проблемы гендерного неравенства, лишающего женщин и девочек их основных прав и возможностей и </w:t>
      </w:r>
      <w:proofErr w:type="gramStart"/>
      <w:r w:rsidRPr="000C20ED">
        <w:rPr>
          <w:rFonts w:ascii="Times New Roman" w:hAnsi="Times New Roman"/>
          <w:sz w:val="30"/>
          <w:szCs w:val="30"/>
        </w:rPr>
        <w:t>без решения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реализация их лидерского потенциала, снижение разрыва в соотношении доходов женщин с доходами мужчин.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25C1768C" wp14:editId="09ED9C26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1525" cy="772795"/>
            <wp:effectExtent l="0" t="0" r="9525" b="8255"/>
            <wp:wrapSquare wrapText="bothSides"/>
            <wp:docPr id="6" name="Рисунок 6" descr="https://www.belstat.gov.by/upload-belstat/upload-belstat-image/SDG/6_clean_water_san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lstat.gov.by/upload-belstat/upload-belstat-image/SDG/6_clean_water_sani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6 ЧИСТАЯ ВОДА И САНИТАРИЯ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Республики Беларусь являются надежное водоснабжение населения водой нормативного качества, эффективное </w:t>
      </w:r>
      <w:proofErr w:type="spellStart"/>
      <w:r w:rsidRPr="000C20ED">
        <w:rPr>
          <w:rFonts w:ascii="Times New Roman" w:hAnsi="Times New Roman"/>
          <w:sz w:val="30"/>
          <w:szCs w:val="30"/>
        </w:rPr>
        <w:t>водообеспечение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7B8C159F" wp14:editId="48268154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781050" cy="782320"/>
            <wp:effectExtent l="0" t="0" r="0" b="0"/>
            <wp:wrapSquare wrapText="bothSides"/>
            <wp:docPr id="7" name="Рисунок 7" descr="https://www.belstat.gov.by/upload-belstat/upload-belstat-image/SDG/7_affordable_clea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lstat.gov.by/upload-belstat/upload-belstat-image/SDG/7_affordable_clean_energ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7 НЕДОРОГОСТОЯЩАЯ ЧИСТАЯ ЭНЕРГИЯ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</w:t>
      </w:r>
      <w:proofErr w:type="spellStart"/>
      <w:r w:rsidRPr="000C20ED">
        <w:rPr>
          <w:rFonts w:ascii="Times New Roman" w:hAnsi="Times New Roman"/>
          <w:sz w:val="30"/>
          <w:szCs w:val="30"/>
        </w:rPr>
        <w:t>энергоисточников</w:t>
      </w:r>
      <w:proofErr w:type="spellEnd"/>
      <w:r w:rsidRPr="000C20ED">
        <w:rPr>
          <w:rFonts w:ascii="Times New Roman" w:hAnsi="Times New Roman"/>
          <w:sz w:val="30"/>
          <w:szCs w:val="30"/>
        </w:rPr>
        <w:t>, наличием развитой системы электрических сетей, а также доступной стоимостью электроэнергии.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083C4411" wp14:editId="0B0BFDC5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781050" cy="782955"/>
            <wp:effectExtent l="0" t="0" r="0" b="0"/>
            <wp:wrapSquare wrapText="bothSides"/>
            <wp:docPr id="8" name="Рисунок 8" descr="https://www.belstat.gov.by/upload-belstat/upload-belstat-image/SDG/8_decent_work_economic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lstat.gov.by/upload-belstat/upload-belstat-image/SDG/8_decent_work_economic_grow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8 ДОСТОЙНАЯ РАБОТА И ЭКОНОМИЧЕСКИЙ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0C20ED">
        <w:rPr>
          <w:rFonts w:ascii="Times New Roman" w:hAnsi="Times New Roman"/>
          <w:sz w:val="30"/>
          <w:szCs w:val="30"/>
        </w:rPr>
        <w:t xml:space="preserve">РОСТ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способствует устойчивому экономическому росту, эффективной занятости, созданию высокопроизводительных рабочих мест и, в результате, росту доходов и благосостояния населения. Обеспечение достойной занятости затрагивает все категории населения страны, в том числе молодежь, женщин, 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66132DE1" wp14:editId="08D3FD3D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807720" cy="809625"/>
            <wp:effectExtent l="0" t="0" r="0" b="9525"/>
            <wp:wrapSquare wrapText="bothSides"/>
            <wp:docPr id="9" name="Рисунок 9" descr="https://www.belstat.gov.by/upload-belstat/upload-belstat-image/SDG/9_industry_innovation_infra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lstat.gov.by/upload-belstat/upload-belstat-image/SDG/9_industry_innovation_infra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9 ИНДУСТРИАЛИЗАЦИЯ, ИННОВАЦИЯ И ИНФРАСТРУКТУРА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развитие малых организаций, инновационной деятельности,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экологизацию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производства, активизацию научных исследований и наращивание технологического потенциала промышленных секторов 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экологизацией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производств. Благодаря </w:t>
      </w:r>
      <w:r w:rsidRPr="000C20ED">
        <w:rPr>
          <w:rFonts w:ascii="Times New Roman" w:hAnsi="Times New Roman"/>
          <w:sz w:val="30"/>
          <w:szCs w:val="30"/>
        </w:rPr>
        <w:lastRenderedPageBreak/>
        <w:t>развитию информационно-коммуникационных технологий создаются условия для</w:t>
      </w:r>
      <w:r>
        <w:rPr>
          <w:rFonts w:ascii="Times New Roman" w:hAnsi="Times New Roman"/>
          <w:sz w:val="30"/>
          <w:szCs w:val="30"/>
        </w:rPr>
        <w:t xml:space="preserve"> перехода к цифровой экономике.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47A6C13C" wp14:editId="634FFDDA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790575" cy="792480"/>
            <wp:effectExtent l="0" t="0" r="9525" b="7620"/>
            <wp:wrapSquare wrapText="bothSides"/>
            <wp:docPr id="10" name="Рисунок 10" descr="https://www.belstat.gov.by/upload-belstat/upload-belstat-image/SDG/10_reduced_inaqu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stat.gov.by/upload-belstat/upload-belstat-image/SDG/10_reduced_inaqu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10 УМЕНЬШЕНИЕ НЕРАВЕНСТВА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0ECA72FC" wp14:editId="07A9D869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819150" cy="821690"/>
            <wp:effectExtent l="0" t="0" r="0" b="0"/>
            <wp:wrapSquare wrapText="bothSides"/>
            <wp:docPr id="11" name="Рисунок 11" descr="https://www.belstat.gov.by/upload-belstat/upload-belstat-image/SDG/11_sustainable_cities_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lstat.gov.by/upload-belstat/upload-belstat-image/SDG/11_sustainable_cities_communit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11 УСТОЙЧИВЫЕ ГОРОДА И НАСЕЛЕННЫЕ ПУНКТЫ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 wp14:anchorId="19DFE3BA" wp14:editId="3D301729">
            <wp:simplePos x="0" y="0"/>
            <wp:positionH relativeFrom="column">
              <wp:posOffset>13970</wp:posOffset>
            </wp:positionH>
            <wp:positionV relativeFrom="paragraph">
              <wp:posOffset>123190</wp:posOffset>
            </wp:positionV>
            <wp:extent cx="771525" cy="772160"/>
            <wp:effectExtent l="0" t="0" r="9525" b="8890"/>
            <wp:wrapSquare wrapText="bothSides"/>
            <wp:docPr id="12" name="Рисунок 12" descr="https://www.belstat.gov.by/upload-belstat/upload-belstat-image/SDG/12_responsible_consumption_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lstat.gov.by/upload-belstat/upload-belstat-image/SDG/12_responsible_consumption_produc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12 ОТВЕТСТВЕННОЕ ПОТРЕБЛЕНИЕ И ПРОИЗВОДСТВО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 wp14:anchorId="78F54965" wp14:editId="750DAF29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781050" cy="782320"/>
            <wp:effectExtent l="0" t="0" r="0" b="0"/>
            <wp:wrapSquare wrapText="bothSides"/>
            <wp:docPr id="13" name="Рисунок 13" descr="https://www.belstat.gov.by/upload-belstat/upload-belstat-image/SDG/13_climat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lstat.gov.by/upload-belstat/upload-belstat-image/SDG/13_climate_ac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13 БОРЬБА С ИЗМЕНЕНИЕМ КЛИМАТА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включать меры реагирования на изменение климата в политику, национальные стратегии и планы. В 2016 году Республика Беларусь подписала Парижское соглашение об 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</w:t>
      </w:r>
      <w:proofErr w:type="spellStart"/>
      <w:r w:rsidRPr="000C20ED">
        <w:rPr>
          <w:rFonts w:ascii="Times New Roman" w:hAnsi="Times New Roman"/>
          <w:sz w:val="30"/>
          <w:szCs w:val="30"/>
        </w:rPr>
        <w:t>Сендайской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рамочной программой по снижению риска бедствий до 2030 года.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 wp14:anchorId="2905A152" wp14:editId="580A9025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733425" cy="733425"/>
            <wp:effectExtent l="0" t="0" r="9525" b="9525"/>
            <wp:wrapSquare wrapText="bothSides"/>
            <wp:docPr id="14" name="Рисунок 14" descr="https://www.belstat.gov.by/upload-belstat/upload-belstat-image/SDG/14_life_below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stat.gov.by/upload-belstat/upload-belstat-image/SDG/14_life_below_wa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14 СОХРАНЕНИЕ МОРСКИХ ЭКОСИСТЕМ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C20ED">
        <w:rPr>
          <w:rFonts w:ascii="Times New Roman" w:hAnsi="Times New Roman"/>
          <w:sz w:val="30"/>
          <w:szCs w:val="30"/>
        </w:rPr>
        <w:t xml:space="preserve">находясь на Черноморско-Балтийском водоразделе, Беларусь вносит свой вклад в реализацию посредством охраны трансграничных </w:t>
      </w:r>
      <w:r w:rsidRPr="000C20ED">
        <w:rPr>
          <w:rFonts w:ascii="Times New Roman" w:hAnsi="Times New Roman"/>
          <w:sz w:val="30"/>
          <w:szCs w:val="30"/>
        </w:rPr>
        <w:lastRenderedPageBreak/>
        <w:t>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 wp14:anchorId="2848AE9D" wp14:editId="075F8858">
            <wp:simplePos x="0" y="0"/>
            <wp:positionH relativeFrom="column">
              <wp:posOffset>-33655</wp:posOffset>
            </wp:positionH>
            <wp:positionV relativeFrom="paragraph">
              <wp:posOffset>208915</wp:posOffset>
            </wp:positionV>
            <wp:extent cx="809625" cy="811530"/>
            <wp:effectExtent l="0" t="0" r="9525" b="7620"/>
            <wp:wrapSquare wrapText="bothSides"/>
            <wp:docPr id="16" name="Рисунок 16" descr="https://www.belstat.gov.by/upload-belstat/upload-belstat-image/SDG/15_life_on_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lstat.gov.by/upload-belstat/upload-belstat-image/SDG/15_life_on_la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34" w:rsidRPr="000C20ED" w:rsidRDefault="00836A34" w:rsidP="00836A3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15 СОХРАНЕНИЕ ЭКОСИСТЕМ СУШИ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 направлена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</w:t>
      </w:r>
    </w:p>
    <w:p w:rsidR="00836A34" w:rsidRPr="000C20ED" w:rsidRDefault="00836A34" w:rsidP="00836A34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 wp14:anchorId="76FE3A22" wp14:editId="120923F7">
            <wp:simplePos x="0" y="0"/>
            <wp:positionH relativeFrom="column">
              <wp:posOffset>-89535</wp:posOffset>
            </wp:positionH>
            <wp:positionV relativeFrom="paragraph">
              <wp:posOffset>208915</wp:posOffset>
            </wp:positionV>
            <wp:extent cx="866775" cy="868680"/>
            <wp:effectExtent l="0" t="0" r="9525" b="7620"/>
            <wp:wrapSquare wrapText="bothSides"/>
            <wp:docPr id="17" name="Рисунок 17" descr="https://www.belstat.gov.by/upload-belstat/upload-belstat-image/SDG/16_peace_justice_strong_instit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lstat.gov.by/upload-belstat/upload-belstat-image/SDG/16_peace_justice_strong_instituti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34" w:rsidRPr="000C20ED" w:rsidRDefault="00836A34" w:rsidP="00836A3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ЦУР 16 МИР И ПРАВОСУДИЕ 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836A34" w:rsidRPr="000C20ED" w:rsidRDefault="00836A34" w:rsidP="00836A34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5648" behindDoc="0" locked="0" layoutInCell="1" allowOverlap="1" wp14:anchorId="03B566B8" wp14:editId="613245DB">
            <wp:simplePos x="0" y="0"/>
            <wp:positionH relativeFrom="column">
              <wp:posOffset>-90805</wp:posOffset>
            </wp:positionH>
            <wp:positionV relativeFrom="paragraph">
              <wp:posOffset>9525</wp:posOffset>
            </wp:positionV>
            <wp:extent cx="923925" cy="925830"/>
            <wp:effectExtent l="0" t="0" r="9525" b="7620"/>
            <wp:wrapSquare wrapText="bothSides"/>
            <wp:docPr id="18" name="Рисунок 18" descr="https://www.belstat.gov.by/upload-belstat/upload-belstat-image/SDG/17_partnership_for_the_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lstat.gov.by/upload-belstat/upload-belstat-image/SDG/17_partnership_for_the_goal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17 ПАРТНЕРСТВО В ИНТЕРЕСАХ УСТОЙЧИВОГО РАЗВИТИЯ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укрепление глобальных партнерских связей для пропаганды и достижения амбициозных целей, поставленных в Повестке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:rsidR="00836A34" w:rsidRPr="000C20ED" w:rsidRDefault="00836A34" w:rsidP="00836A34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0C20ED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60AED86B" wp14:editId="2EB1765C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019175" cy="1019175"/>
            <wp:effectExtent l="0" t="0" r="9525" b="9525"/>
            <wp:wrapSquare wrapText="bothSides"/>
            <wp:docPr id="19" name="Рисунок 19" descr="https://www.belstat.gov.by/upload-belstat/upload-belstat-image/SDG/18_bch_20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belstat.gov.by/upload-belstat/upload-belstat-image/SDG/18_bch_20_12_2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b/>
          <w:sz w:val="30"/>
          <w:szCs w:val="30"/>
        </w:rPr>
        <w:t>Беларусь и Цели Устойчивого Развития.</w:t>
      </w:r>
    </w:p>
    <w:p w:rsidR="00836A34" w:rsidRPr="000C20ED" w:rsidRDefault="00836A34" w:rsidP="00836A34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</w:t>
      </w:r>
      <w:r>
        <w:rPr>
          <w:rFonts w:ascii="Times New Roman" w:hAnsi="Times New Roman"/>
          <w:sz w:val="30"/>
          <w:szCs w:val="30"/>
        </w:rPr>
        <w:t>мира и безопасности на планете.</w:t>
      </w:r>
    </w:p>
    <w:p w:rsidR="00836A34" w:rsidRPr="000C20ED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</w:t>
      </w:r>
      <w:r>
        <w:rPr>
          <w:rFonts w:ascii="Times New Roman" w:hAnsi="Times New Roman"/>
          <w:sz w:val="30"/>
          <w:szCs w:val="30"/>
        </w:rPr>
        <w:t>льный координационный механизм.</w:t>
      </w:r>
    </w:p>
    <w:p w:rsidR="00836A34" w:rsidRPr="000C20ED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</w:t>
      </w:r>
      <w:r>
        <w:rPr>
          <w:rFonts w:ascii="Times New Roman" w:hAnsi="Times New Roman"/>
          <w:sz w:val="30"/>
          <w:szCs w:val="30"/>
        </w:rPr>
        <w:t xml:space="preserve"> момент эту почетную должность </w:t>
      </w:r>
      <w:r w:rsidRPr="000C20ED">
        <w:rPr>
          <w:rFonts w:ascii="Times New Roman" w:hAnsi="Times New Roman"/>
          <w:sz w:val="30"/>
          <w:szCs w:val="30"/>
        </w:rPr>
        <w:t xml:space="preserve">занимает Бельский Валерий Иванович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836A34" w:rsidRPr="000C20ED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Деятельность совета, сформированного на уровне руководства 30 профильных органов государственного управления и регионов,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закрепить ответственность за выполнение ЦУР за конкретными правительственными агентствами, созда</w:t>
      </w:r>
      <w:r>
        <w:rPr>
          <w:rFonts w:ascii="Times New Roman" w:hAnsi="Times New Roman"/>
          <w:sz w:val="30"/>
          <w:szCs w:val="30"/>
        </w:rPr>
        <w:t>е</w:t>
      </w:r>
      <w:r w:rsidRPr="000C20ED">
        <w:rPr>
          <w:rFonts w:ascii="Times New Roman" w:hAnsi="Times New Roman"/>
          <w:sz w:val="30"/>
          <w:szCs w:val="30"/>
        </w:rPr>
        <w:t xml:space="preserve">т платформу для </w:t>
      </w:r>
      <w:proofErr w:type="spellStart"/>
      <w:r w:rsidRPr="000C20ED">
        <w:rPr>
          <w:rFonts w:ascii="Times New Roman" w:hAnsi="Times New Roman"/>
          <w:sz w:val="30"/>
          <w:szCs w:val="30"/>
        </w:rPr>
        <w:t>межсекторального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обмена и обсуждения прогресса выполнения ЦУР,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эффективно решать задачи вертикальной и горизонтальной координации.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устойчивого развития определен заместитель председателя облисполкома </w:t>
      </w:r>
      <w:r w:rsidRPr="000C20ED">
        <w:rPr>
          <w:rFonts w:ascii="Times New Roman" w:hAnsi="Times New Roman"/>
          <w:i/>
          <w:sz w:val="30"/>
          <w:szCs w:val="30"/>
        </w:rPr>
        <w:t>(</w:t>
      </w:r>
      <w:proofErr w:type="spellStart"/>
      <w:r w:rsidRPr="000C20ED">
        <w:rPr>
          <w:rFonts w:ascii="Times New Roman" w:hAnsi="Times New Roman"/>
          <w:i/>
          <w:sz w:val="30"/>
          <w:szCs w:val="30"/>
        </w:rPr>
        <w:t>Страхар</w:t>
      </w:r>
      <w:proofErr w:type="spellEnd"/>
      <w:r w:rsidRPr="000C20ED">
        <w:rPr>
          <w:rFonts w:ascii="Times New Roman" w:hAnsi="Times New Roman"/>
          <w:i/>
          <w:sz w:val="30"/>
          <w:szCs w:val="30"/>
        </w:rPr>
        <w:t xml:space="preserve"> Р.Б.)</w:t>
      </w:r>
      <w:r w:rsidRPr="000C20ED">
        <w:rPr>
          <w:rFonts w:ascii="Times New Roman" w:hAnsi="Times New Roman"/>
          <w:sz w:val="30"/>
          <w:szCs w:val="30"/>
        </w:rPr>
        <w:t>, создана областная рабочая группа по устойчивому развитию.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</w:t>
      </w:r>
      <w:r w:rsidRPr="000C20ED">
        <w:rPr>
          <w:rFonts w:ascii="Times New Roman" w:hAnsi="Times New Roman"/>
          <w:bCs/>
          <w:sz w:val="30"/>
          <w:szCs w:val="30"/>
        </w:rPr>
        <w:t>Стратегии устойчивого развития Могилевской области на период до 2035 года. Данный документ утвержден председателем облисполкома 31 декабря 2020 г. и предварительно получил одобрение Президиума областного Совета депутатов.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lastRenderedPageBreak/>
        <w:t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</w:t>
      </w:r>
      <w:r>
        <w:rPr>
          <w:rFonts w:ascii="Times New Roman" w:hAnsi="Times New Roman"/>
          <w:bCs/>
          <w:sz w:val="30"/>
          <w:szCs w:val="30"/>
        </w:rPr>
        <w:t>анизации и предприятия области.</w:t>
      </w:r>
    </w:p>
    <w:p w:rsidR="00836A34" w:rsidRPr="000C20ED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</w:t>
      </w:r>
      <w:r>
        <w:rPr>
          <w:rFonts w:ascii="Times New Roman" w:hAnsi="Times New Roman"/>
          <w:bCs/>
          <w:sz w:val="30"/>
          <w:szCs w:val="30"/>
        </w:rPr>
        <w:t xml:space="preserve">елей промышленных предприятий, </w:t>
      </w:r>
      <w:r w:rsidRPr="000C20ED">
        <w:rPr>
          <w:rFonts w:ascii="Times New Roman" w:hAnsi="Times New Roman"/>
          <w:bCs/>
          <w:sz w:val="30"/>
          <w:szCs w:val="30"/>
        </w:rPr>
        <w:t>жителей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</w:t>
      </w:r>
      <w:r>
        <w:rPr>
          <w:rFonts w:ascii="Times New Roman" w:hAnsi="Times New Roman"/>
          <w:bCs/>
          <w:sz w:val="30"/>
          <w:szCs w:val="30"/>
        </w:rPr>
        <w:t>ченных международных экспертов.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Стратегия – это долгосрочный план вложения инвестиций нынешнего поколения в уверенное будущее последующих поколений. </w:t>
      </w:r>
      <w:r>
        <w:rPr>
          <w:rFonts w:ascii="Times New Roman" w:hAnsi="Times New Roman"/>
          <w:bCs/>
          <w:sz w:val="30"/>
          <w:szCs w:val="30"/>
        </w:rPr>
        <w:t>Реализация Стратегии позволяет: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объединить граждан, бизнес, органы власти для совместной разработки и в последующем </w:t>
      </w:r>
      <w:proofErr w:type="gramStart"/>
      <w:r w:rsidRPr="000C20ED">
        <w:rPr>
          <w:rFonts w:ascii="Times New Roman" w:hAnsi="Times New Roman"/>
          <w:bCs/>
          <w:sz w:val="30"/>
          <w:szCs w:val="30"/>
        </w:rPr>
        <w:t>для совместного достижения</w:t>
      </w:r>
      <w:proofErr w:type="gramEnd"/>
      <w:r w:rsidRPr="000C20ED">
        <w:rPr>
          <w:rFonts w:ascii="Times New Roman" w:hAnsi="Times New Roman"/>
          <w:bCs/>
          <w:sz w:val="30"/>
          <w:szCs w:val="30"/>
        </w:rPr>
        <w:t xml:space="preserve"> желаемого будущего к 2035 году с учетом интересов кажд</w:t>
      </w:r>
      <w:r>
        <w:rPr>
          <w:rFonts w:ascii="Times New Roman" w:hAnsi="Times New Roman"/>
          <w:bCs/>
          <w:sz w:val="30"/>
          <w:szCs w:val="30"/>
        </w:rPr>
        <w:t>ой из сторон, каждого человека;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сконцентрировать усилия и ресурсы на ключевых направлениях, ускоряющих достижение</w:t>
      </w:r>
      <w:r w:rsidR="0024566C">
        <w:rPr>
          <w:rFonts w:ascii="Times New Roman" w:hAnsi="Times New Roman"/>
          <w:bCs/>
          <w:sz w:val="30"/>
          <w:szCs w:val="30"/>
        </w:rPr>
        <w:t xml:space="preserve"> областью устойчивого развития;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мобилизовать внутренние резервы и привлечь внешни</w:t>
      </w:r>
      <w:r>
        <w:rPr>
          <w:rFonts w:ascii="Times New Roman" w:hAnsi="Times New Roman"/>
          <w:bCs/>
          <w:sz w:val="30"/>
          <w:szCs w:val="30"/>
        </w:rPr>
        <w:t>е ресурсы для развития области;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сформировать позитивный имидж Могилевской области как территории с благоприятными экологией и бизнес-климатом, достойным качеством жизни, с развитым гражданским обществом и надлежащим управлением.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ab/>
      </w:r>
      <w:r w:rsidRPr="000C20ED">
        <w:rPr>
          <w:rFonts w:ascii="Times New Roman" w:hAnsi="Times New Roman"/>
          <w:sz w:val="30"/>
          <w:szCs w:val="30"/>
        </w:rPr>
        <w:t>В итоге собирательным образом, какой должна быть Могилевская область, стало: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Могилевская область с населением более 1 миллиона человек является устойчиво развивающимся регионом: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обладающим благоприятными и безопасными условиями для жизни, развития и самореализации граждан;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опирающимся на развитую диверсифицированную «зеленую» экономику, главными драйверами роста которой выступают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экологизация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и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цифровизация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>, рациональное использование местных сырьевых ресурсов и циркулярная экономика (основанная на возобновлении ресурсов);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характеризующимся интеллектуально развитым, гуманным, поликультурным, справедливым, толерантным, инклюзивным, </w:t>
      </w:r>
      <w:r w:rsidRPr="000C20ED">
        <w:rPr>
          <w:rFonts w:ascii="Times New Roman" w:hAnsi="Times New Roman"/>
          <w:b/>
          <w:bCs/>
          <w:i/>
          <w:sz w:val="30"/>
          <w:szCs w:val="30"/>
        </w:rPr>
        <w:lastRenderedPageBreak/>
        <w:t>гендерно равноправным и социально ответственным обществом, сохраняющим этнокультурную идентичность;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стремящимся к климатической нейтральности, минимизации воздействия на окружающую среду, сохранению природ</w:t>
      </w:r>
      <w:r w:rsidR="0024566C">
        <w:rPr>
          <w:rFonts w:ascii="Times New Roman" w:hAnsi="Times New Roman"/>
          <w:b/>
          <w:bCs/>
          <w:i/>
          <w:sz w:val="30"/>
          <w:szCs w:val="30"/>
        </w:rPr>
        <w:t>ных ресурсов и биоразнообразия;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</w:t>
      </w:r>
      <w:r>
        <w:rPr>
          <w:rFonts w:ascii="Times New Roman" w:hAnsi="Times New Roman"/>
          <w:sz w:val="30"/>
          <w:szCs w:val="30"/>
        </w:rPr>
        <w:t>,</w:t>
      </w:r>
      <w:r w:rsidRPr="000C20ED">
        <w:rPr>
          <w:rFonts w:ascii="Times New Roman" w:hAnsi="Times New Roman"/>
          <w:sz w:val="30"/>
          <w:szCs w:val="30"/>
        </w:rPr>
        <w:t xml:space="preserve"> по которым можно будет оценивать успешность нашей работы. Все это реализовано в Стратегии.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Для того, что бы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этот документ стал действительно работающим, в Стратегии предусмо</w:t>
      </w:r>
      <w:r>
        <w:rPr>
          <w:rFonts w:ascii="Times New Roman" w:hAnsi="Times New Roman"/>
          <w:sz w:val="30"/>
          <w:szCs w:val="30"/>
        </w:rPr>
        <w:t>трены три этапа его реализации:</w:t>
      </w:r>
    </w:p>
    <w:p w:rsidR="00836A34" w:rsidRPr="000C20ED" w:rsidRDefault="00836A34" w:rsidP="00836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>Первый этап «Ориентация на будущие поколения</w:t>
      </w:r>
      <w:r w:rsidRPr="000C20ED">
        <w:rPr>
          <w:rFonts w:ascii="Times New Roman" w:hAnsi="Times New Roman"/>
          <w:sz w:val="30"/>
          <w:szCs w:val="30"/>
        </w:rPr>
        <w:t>» – с даты утв</w:t>
      </w:r>
      <w:r>
        <w:rPr>
          <w:rFonts w:ascii="Times New Roman" w:hAnsi="Times New Roman"/>
          <w:sz w:val="30"/>
          <w:szCs w:val="30"/>
        </w:rPr>
        <w:t>ерждения Стратегии по 2023 год.</w:t>
      </w:r>
    </w:p>
    <w:p w:rsidR="00836A34" w:rsidRPr="000C20ED" w:rsidRDefault="00836A34" w:rsidP="00836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836A34" w:rsidRPr="000C20ED" w:rsidRDefault="00836A34" w:rsidP="00836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Второй этап «Десятилетие перехода к устойчивому развитию» </w:t>
      </w:r>
      <w:r>
        <w:rPr>
          <w:rFonts w:ascii="Times New Roman" w:hAnsi="Times New Roman"/>
          <w:sz w:val="30"/>
          <w:szCs w:val="30"/>
        </w:rPr>
        <w:t>– 2024–2030 годы.</w:t>
      </w:r>
    </w:p>
    <w:p w:rsidR="00836A34" w:rsidRPr="000C20ED" w:rsidRDefault="00836A34" w:rsidP="00836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</w:t>
      </w:r>
      <w:r>
        <w:rPr>
          <w:rFonts w:ascii="Times New Roman" w:hAnsi="Times New Roman"/>
          <w:sz w:val="30"/>
          <w:szCs w:val="30"/>
        </w:rPr>
        <w:t xml:space="preserve"> сельских территорий для жизни.</w:t>
      </w:r>
    </w:p>
    <w:p w:rsidR="00836A34" w:rsidRPr="000C20ED" w:rsidRDefault="00836A34" w:rsidP="00836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Третий этап «Обеспечение устойчивости процессов развития Могилевской области» </w:t>
      </w:r>
      <w:r>
        <w:rPr>
          <w:rFonts w:ascii="Times New Roman" w:hAnsi="Times New Roman"/>
          <w:sz w:val="30"/>
          <w:szCs w:val="30"/>
        </w:rPr>
        <w:t>– 2031–2035 годы.</w:t>
      </w:r>
    </w:p>
    <w:p w:rsidR="00836A34" w:rsidRPr="000C20ED" w:rsidRDefault="00836A34" w:rsidP="00836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836A34" w:rsidRPr="000C20ED" w:rsidRDefault="00836A34" w:rsidP="00836A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ab/>
        <w:t>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:rsidR="00836A34" w:rsidRPr="000C20ED" w:rsidRDefault="00836A34" w:rsidP="00836A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2023 году завершается реал</w:t>
      </w:r>
      <w:r>
        <w:rPr>
          <w:rFonts w:ascii="Times New Roman" w:hAnsi="Times New Roman"/>
          <w:sz w:val="30"/>
          <w:szCs w:val="30"/>
        </w:rPr>
        <w:t>изация Первого этапа Стратегии.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ходе данного этапа уже сделано немало важных шагов: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lastRenderedPageBreak/>
        <w:t>для областной рабочей группы, местных органов власти, СМИ, некоммерческих организаций проведен ряд целевых мероприятий</w:t>
      </w:r>
      <w:r>
        <w:rPr>
          <w:rFonts w:ascii="Times New Roman" w:hAnsi="Times New Roman"/>
          <w:sz w:val="30"/>
          <w:szCs w:val="30"/>
        </w:rPr>
        <w:t xml:space="preserve"> (ежегодно – более 170 встреч);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обеспечена максимальная публичность проводимой работы (за два года в мероприятиях приняло участие более 17 тысяч жителей области);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вопросы реализации ЦУР включены в повестку Единых дней информирования, фактически это вовлечение всего экономичес</w:t>
      </w:r>
      <w:r>
        <w:rPr>
          <w:rFonts w:ascii="Times New Roman" w:hAnsi="Times New Roman"/>
          <w:sz w:val="30"/>
          <w:szCs w:val="30"/>
        </w:rPr>
        <w:t>ки активного населения региона;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сформирована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ведется повышение квалификации преподавателей на базе УО «Могилевский государственный областной институт развития образования» (за 2022 </w:t>
      </w:r>
      <w:r>
        <w:rPr>
          <w:rFonts w:ascii="Times New Roman" w:hAnsi="Times New Roman"/>
          <w:sz w:val="30"/>
          <w:szCs w:val="30"/>
        </w:rPr>
        <w:t xml:space="preserve">год </w:t>
      </w:r>
      <w:r w:rsidRPr="000C20ED">
        <w:rPr>
          <w:rFonts w:ascii="Times New Roman" w:hAnsi="Times New Roman"/>
          <w:sz w:val="30"/>
          <w:szCs w:val="30"/>
        </w:rPr>
        <w:t xml:space="preserve">прошло обучение 2800 педагогических работников области). </w:t>
      </w:r>
      <w:r w:rsidR="0024566C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5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мая 2023 года</w:t>
      </w:r>
      <w:r w:rsidRPr="000C20ED">
        <w:rPr>
          <w:rFonts w:ascii="Times New Roman" w:hAnsi="Times New Roman"/>
          <w:sz w:val="30"/>
          <w:szCs w:val="30"/>
        </w:rPr>
        <w:t xml:space="preserve"> на базе МГОИРО проведен </w:t>
      </w:r>
      <w:r w:rsidR="0024566C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VII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 февраля т</w:t>
      </w:r>
      <w:r>
        <w:rPr>
          <w:rFonts w:ascii="Times New Roman" w:hAnsi="Times New Roman"/>
          <w:sz w:val="30"/>
          <w:szCs w:val="30"/>
        </w:rPr>
        <w:t>екуще</w:t>
      </w:r>
      <w:r w:rsidRPr="000C20ED">
        <w:rPr>
          <w:rFonts w:ascii="Times New Roman" w:hAnsi="Times New Roman"/>
          <w:sz w:val="30"/>
          <w:szCs w:val="30"/>
        </w:rPr>
        <w:t xml:space="preserve">го года уже на платной основе в </w:t>
      </w:r>
      <w:r>
        <w:rPr>
          <w:rFonts w:ascii="Times New Roman" w:hAnsi="Times New Roman"/>
          <w:sz w:val="30"/>
          <w:szCs w:val="30"/>
        </w:rPr>
        <w:t xml:space="preserve">УО «Могилевский государственный </w:t>
      </w:r>
      <w:r w:rsidRPr="000C20ED">
        <w:rPr>
          <w:rFonts w:ascii="Times New Roman" w:hAnsi="Times New Roman"/>
          <w:sz w:val="30"/>
          <w:szCs w:val="30"/>
        </w:rPr>
        <w:t xml:space="preserve">университет имени </w:t>
      </w:r>
      <w:proofErr w:type="spellStart"/>
      <w:r>
        <w:rPr>
          <w:rFonts w:ascii="Times New Roman" w:hAnsi="Times New Roman"/>
          <w:sz w:val="30"/>
          <w:szCs w:val="30"/>
        </w:rPr>
        <w:t>А.А.</w:t>
      </w:r>
      <w:r w:rsidRPr="000C20ED">
        <w:rPr>
          <w:rFonts w:ascii="Times New Roman" w:hAnsi="Times New Roman"/>
          <w:sz w:val="30"/>
          <w:szCs w:val="30"/>
        </w:rPr>
        <w:t>Кулешова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0C20ED">
        <w:rPr>
          <w:rFonts w:ascii="Times New Roman" w:hAnsi="Times New Roman"/>
          <w:sz w:val="30"/>
          <w:szCs w:val="30"/>
        </w:rPr>
        <w:t xml:space="preserve"> ведется подготовка специалистов по тематике устойчивого развития;</w:t>
      </w:r>
    </w:p>
    <w:p w:rsidR="00836A34" w:rsidRPr="000C20ED" w:rsidRDefault="00836A34" w:rsidP="00836A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в целях информирования широкого круга заинтересованных о возможности участия в мероприятиях, проводимых в области, сформирован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и размещен на сайте облисполкома к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ый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председателем Могилевского облисполкома </w:t>
      </w:r>
      <w:proofErr w:type="spell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А.М.Исаченко</w:t>
      </w:r>
      <w:proofErr w:type="spellEnd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6 января 2023 г.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Очень продуктивно в этом направлении работает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Могилевская областная ассоциация местных Советов депутатов, которая с 2019 года (за 4 года) на принципах </w:t>
      </w:r>
      <w:proofErr w:type="spell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софинансир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ования</w:t>
      </w:r>
      <w:proofErr w:type="spellEnd"/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смогла поддержать более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175 инициатив на сумму более 320 тысяч рублей.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Многие инициативы реализуются организациями и гражданами вообще без какой-либо финансовой поддержки извне.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lastRenderedPageBreak/>
        <w:t xml:space="preserve">Об этом свидетельствует активность, проявленная в ходе проведения конкурсов местных инициатив. Такие конкурсы начали проводиться облисполкомом в рамках реализации областной Стратегии: в 2021 году поступило 44 инициативы, в 2022 году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–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30 инициатив. При этом, по условиям конкурса, его победителям денежные награды не присуждаются. Они получают дипломы и информационную поддержку.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Важным является и то, что в процессы достижения ЦУР включаются не только граждане, но и целые организации: 6</w:t>
      </w:r>
      <w:r w:rsidRPr="000C20ED">
        <w:rPr>
          <w:rFonts w:ascii="Times New Roman" w:hAnsi="Times New Roman"/>
          <w:sz w:val="30"/>
          <w:szCs w:val="30"/>
        </w:rPr>
        <w:t xml:space="preserve"> организаций Могилевской области уже подписали декларации о присоединении к достижению Целей устойчивого развития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Совсем недавно к этому процессу с конкретной программой действий присоединился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МО УВО «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Белорусско-Российский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 – в структуре университета создан</w:t>
      </w:r>
      <w:r w:rsidRPr="000C20ED">
        <w:rPr>
          <w:rFonts w:ascii="Times New Roman" w:hAnsi="Times New Roman"/>
          <w:bCs/>
          <w:sz w:val="30"/>
          <w:szCs w:val="30"/>
        </w:rPr>
        <w:t xml:space="preserve"> Международный научно-образовательный центр по устойчивому развитию, зеленой экономике и информатизации.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страновом</w:t>
      </w:r>
      <w:proofErr w:type="spell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уровне начата реализация проекта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международной технической помощи «Поддержка усилий Республики Беларусь в национализации и локализации Целей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устойчивого развития», который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одобрен постановлением Совета Министро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Республики Беларусь от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27 декабря 2022 г. № 918.</w:t>
      </w:r>
    </w:p>
    <w:p w:rsidR="00836A34" w:rsidRPr="000C20ED" w:rsidRDefault="00836A34" w:rsidP="00836A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</w:t>
      </w:r>
      <w:r>
        <w:rPr>
          <w:rFonts w:ascii="Times New Roman" w:hAnsi="Times New Roman"/>
          <w:sz w:val="30"/>
          <w:szCs w:val="30"/>
        </w:rPr>
        <w:t>интересами других.</w:t>
      </w:r>
    </w:p>
    <w:p w:rsidR="00836A34" w:rsidRPr="000C20ED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Мы строим предприятия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это создает рабочие места и увеличивает поступления налогов, но важно, чтобы технологии соответствовали экологическим требованиям и служили</w:t>
      </w:r>
      <w:r>
        <w:rPr>
          <w:rFonts w:ascii="Times New Roman" w:hAnsi="Times New Roman"/>
          <w:sz w:val="30"/>
          <w:szCs w:val="30"/>
        </w:rPr>
        <w:t xml:space="preserve"> основой для будущего развития.</w:t>
      </w:r>
    </w:p>
    <w:p w:rsidR="00836A34" w:rsidRPr="000C20ED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Мы учим детей – но важно понимать, кем </w:t>
      </w:r>
      <w:r>
        <w:rPr>
          <w:rFonts w:ascii="Times New Roman" w:hAnsi="Times New Roman"/>
          <w:sz w:val="30"/>
          <w:szCs w:val="30"/>
        </w:rPr>
        <w:t xml:space="preserve">они станут, когда </w:t>
      </w:r>
      <w:r w:rsidRPr="000C20ED">
        <w:rPr>
          <w:rFonts w:ascii="Times New Roman" w:hAnsi="Times New Roman"/>
          <w:sz w:val="30"/>
          <w:szCs w:val="30"/>
        </w:rPr>
        <w:t>вырастут, какие специальности будут востребованы, заложить в них бережное и уважительное отношение к природе.</w:t>
      </w:r>
    </w:p>
    <w:p w:rsidR="00836A34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</w:t>
      </w:r>
      <w:r>
        <w:rPr>
          <w:rFonts w:ascii="Times New Roman" w:hAnsi="Times New Roman"/>
          <w:sz w:val="30"/>
          <w:szCs w:val="30"/>
        </w:rPr>
        <w:t xml:space="preserve"> уникальный вклад в общее дело.</w:t>
      </w:r>
    </w:p>
    <w:p w:rsidR="00836A34" w:rsidRDefault="00836A34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4566C" w:rsidRPr="00836A34" w:rsidRDefault="0024566C" w:rsidP="00836A3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36A34" w:rsidRDefault="00836A34" w:rsidP="00836A34">
      <w:pPr>
        <w:pStyle w:val="2"/>
        <w:spacing w:line="280" w:lineRule="exact"/>
        <w:ind w:left="4813" w:right="0" w:firstLine="143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подготовлен</w:t>
      </w:r>
      <w:r>
        <w:rPr>
          <w:bCs/>
          <w:i/>
          <w:sz w:val="30"/>
          <w:szCs w:val="30"/>
        </w:rPr>
        <w:t xml:space="preserve"> </w:t>
      </w:r>
    </w:p>
    <w:p w:rsidR="00836A34" w:rsidRDefault="00836A34" w:rsidP="00836A34">
      <w:pPr>
        <w:pStyle w:val="2"/>
        <w:spacing w:line="280" w:lineRule="exact"/>
        <w:ind w:left="4105" w:right="0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комитетом экономики </w:t>
      </w:r>
    </w:p>
    <w:p w:rsidR="00836A34" w:rsidRPr="00836A34" w:rsidRDefault="00836A34" w:rsidP="00836A34">
      <w:pPr>
        <w:ind w:left="4956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Могилевского облисполкома</w:t>
      </w:r>
    </w:p>
    <w:sectPr w:rsidR="00836A34" w:rsidRPr="00836A34" w:rsidSect="00836A3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55"/>
    <w:rsid w:val="00151E55"/>
    <w:rsid w:val="0024566C"/>
    <w:rsid w:val="00836A34"/>
    <w:rsid w:val="008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35FF"/>
  <w15:chartTrackingRefBased/>
  <w15:docId w15:val="{74CFDB37-C6F6-4308-AC7D-7D66A9C0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6A34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6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3</cp:revision>
  <cp:lastPrinted>2023-07-19T12:03:00Z</cp:lastPrinted>
  <dcterms:created xsi:type="dcterms:W3CDTF">2023-07-19T06:31:00Z</dcterms:created>
  <dcterms:modified xsi:type="dcterms:W3CDTF">2023-07-19T12:07:00Z</dcterms:modified>
</cp:coreProperties>
</file>